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8F371A" w:rsidRDefault="00E92B14" w14:paraId="4F114A7A" w14:textId="444FEFC6">
      <w:r>
        <w:rPr>
          <w:noProof/>
        </w:rPr>
        <w:drawing>
          <wp:inline distT="0" distB="0" distL="0" distR="0" wp14:anchorId="49AE47D6" wp14:editId="0228139D">
            <wp:extent cx="2314575" cy="1109067"/>
            <wp:effectExtent l="0" t="0" r="0" b="0"/>
            <wp:docPr id="492038799" name="Picture 1" descr="A logo with colorful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038799" name="Picture 1" descr="A logo with colorful leav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447" cy="1120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585" w:rsidP="7363FE3B" w:rsidRDefault="00C06787" w14:paraId="4A3E5377" w14:textId="716D7899">
      <w:pPr>
        <w:rPr>
          <w:b w:val="1"/>
          <w:bCs w:val="1"/>
          <w:sz w:val="28"/>
          <w:szCs w:val="28"/>
        </w:rPr>
      </w:pPr>
      <w:r w:rsidRPr="7363FE3B" w:rsidR="00C06787">
        <w:rPr>
          <w:b w:val="1"/>
          <w:bCs w:val="1"/>
          <w:sz w:val="28"/>
          <w:szCs w:val="28"/>
        </w:rPr>
        <w:t xml:space="preserve">Debt Awareness </w:t>
      </w:r>
      <w:r w:rsidRPr="7363FE3B" w:rsidR="00C06787">
        <w:rPr>
          <w:b w:val="1"/>
          <w:bCs w:val="1"/>
          <w:sz w:val="28"/>
          <w:szCs w:val="28"/>
        </w:rPr>
        <w:t xml:space="preserve">Week </w:t>
      </w:r>
      <w:r w:rsidRPr="7363FE3B" w:rsidR="3B08A303">
        <w:rPr>
          <w:b w:val="1"/>
          <w:bCs w:val="1"/>
          <w:sz w:val="28"/>
          <w:szCs w:val="28"/>
        </w:rPr>
        <w:t xml:space="preserve">- </w:t>
      </w:r>
      <w:r w:rsidRPr="7363FE3B" w:rsidR="00C06787">
        <w:rPr>
          <w:b w:val="1"/>
          <w:bCs w:val="1"/>
          <w:sz w:val="28"/>
          <w:szCs w:val="28"/>
        </w:rPr>
        <w:t>Day</w:t>
      </w:r>
      <w:r w:rsidRPr="7363FE3B" w:rsidR="00C06787">
        <w:rPr>
          <w:b w:val="1"/>
          <w:bCs w:val="1"/>
          <w:sz w:val="28"/>
          <w:szCs w:val="28"/>
        </w:rPr>
        <w:t xml:space="preserve"> </w:t>
      </w:r>
      <w:r w:rsidRPr="7363FE3B" w:rsidR="006C7642">
        <w:rPr>
          <w:b w:val="1"/>
          <w:bCs w:val="1"/>
          <w:sz w:val="28"/>
          <w:szCs w:val="28"/>
        </w:rPr>
        <w:t>3</w:t>
      </w:r>
      <w:r w:rsidRPr="7363FE3B" w:rsidR="00C06787">
        <w:rPr>
          <w:b w:val="1"/>
          <w:bCs w:val="1"/>
          <w:sz w:val="28"/>
          <w:szCs w:val="28"/>
        </w:rPr>
        <w:t xml:space="preserve">: </w:t>
      </w:r>
      <w:r w:rsidRPr="7363FE3B" w:rsidR="006C7642">
        <w:rPr>
          <w:b w:val="1"/>
          <w:bCs w:val="1"/>
          <w:sz w:val="28"/>
          <w:szCs w:val="28"/>
        </w:rPr>
        <w:t>Spending</w:t>
      </w:r>
      <w:r w:rsidRPr="7363FE3B" w:rsidR="0034648F">
        <w:rPr>
          <w:b w:val="1"/>
          <w:bCs w:val="1"/>
          <w:sz w:val="28"/>
          <w:szCs w:val="28"/>
        </w:rPr>
        <w:t xml:space="preserve"> Worksheet</w:t>
      </w:r>
      <w:r w:rsidRPr="7363FE3B" w:rsidR="00BD2585">
        <w:rPr>
          <w:b w:val="1"/>
          <w:bCs w:val="1"/>
          <w:sz w:val="28"/>
          <w:szCs w:val="28"/>
        </w:rPr>
        <w:t xml:space="preserve"> Part 2</w:t>
      </w:r>
    </w:p>
    <w:p w:rsidR="00BD2585" w:rsidRDefault="00BD2585" w14:paraId="05F2DD57" w14:textId="0C0135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Task: </w:t>
      </w:r>
      <w:r w:rsidRPr="00BD2585">
        <w:rPr>
          <w:bCs/>
          <w:sz w:val="28"/>
          <w:szCs w:val="28"/>
        </w:rPr>
        <w:t xml:space="preserve">See what percentage </w:t>
      </w:r>
      <w:r>
        <w:rPr>
          <w:bCs/>
          <w:sz w:val="28"/>
          <w:szCs w:val="28"/>
        </w:rPr>
        <w:t xml:space="preserve">of your total income </w:t>
      </w:r>
      <w:r w:rsidRPr="00BD2585">
        <w:rPr>
          <w:bCs/>
          <w:sz w:val="28"/>
          <w:szCs w:val="28"/>
        </w:rPr>
        <w:t>you are spending on each</w:t>
      </w:r>
      <w:r>
        <w:rPr>
          <w:bCs/>
          <w:sz w:val="28"/>
          <w:szCs w:val="28"/>
        </w:rPr>
        <w:t xml:space="preserve"> category by dividing your monthly category total by your total monthly income. Compare your percentage to the recommended percentage. </w:t>
      </w:r>
    </w:p>
    <w:p w:rsidRPr="00E44E7D" w:rsidR="00255422" w:rsidP="00E44E7D" w:rsidRDefault="00E44E7D" w14:paraId="510E1E94" w14:textId="0EFB1011">
      <w:pPr>
        <w:rPr>
          <w:b/>
          <w:sz w:val="28"/>
          <w:szCs w:val="28"/>
        </w:rPr>
      </w:pPr>
      <w:r w:rsidRPr="00E44E7D">
        <w:rPr>
          <w:b/>
          <w:sz w:val="28"/>
          <w:szCs w:val="28"/>
        </w:rPr>
        <w:t>Total Monthly Income:</w:t>
      </w:r>
      <w:r>
        <w:rPr>
          <w:b/>
          <w:sz w:val="28"/>
          <w:szCs w:val="28"/>
        </w:rPr>
        <w:t xml:space="preserve"> ________</w:t>
      </w:r>
    </w:p>
    <w:p w:rsidR="00E44E7D" w:rsidP="00E44E7D" w:rsidRDefault="00E44E7D" w14:paraId="6213A2D4" w14:textId="66456330">
      <w:pPr>
        <w:rPr>
          <w:b/>
          <w:sz w:val="28"/>
          <w:szCs w:val="28"/>
        </w:rPr>
      </w:pPr>
      <w:r w:rsidRPr="00E44E7D">
        <w:rPr>
          <w:b/>
          <w:sz w:val="28"/>
          <w:szCs w:val="28"/>
        </w:rPr>
        <w:t xml:space="preserve">Total Monthly Expenses: </w:t>
      </w:r>
      <w:r>
        <w:rPr>
          <w:b/>
          <w:sz w:val="28"/>
          <w:szCs w:val="28"/>
        </w:rPr>
        <w:t>________</w:t>
      </w:r>
    </w:p>
    <w:p w:rsidR="00E44E7D" w:rsidP="00E44E7D" w:rsidRDefault="00E44E7D" w14:paraId="422CDD81" w14:textId="77777777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2250"/>
        <w:gridCol w:w="1620"/>
        <w:gridCol w:w="1615"/>
      </w:tblGrid>
      <w:tr w:rsidR="00E44E7D" w:rsidTr="00E44E7D" w14:paraId="04D935A4" w14:textId="77777777">
        <w:tc>
          <w:tcPr>
            <w:tcW w:w="3865" w:type="dxa"/>
          </w:tcPr>
          <w:p w:rsidR="00E44E7D" w:rsidP="00E44E7D" w:rsidRDefault="00E44E7D" w14:paraId="36718AC5" w14:textId="37CDA4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2250" w:type="dxa"/>
          </w:tcPr>
          <w:p w:rsidR="00E44E7D" w:rsidP="00E44E7D" w:rsidRDefault="00E44E7D" w14:paraId="3CE576B1" w14:textId="4E7FCA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Monthly Total</w:t>
            </w:r>
          </w:p>
        </w:tc>
        <w:tc>
          <w:tcPr>
            <w:tcW w:w="1620" w:type="dxa"/>
          </w:tcPr>
          <w:p w:rsidR="00E44E7D" w:rsidP="00E44E7D" w:rsidRDefault="00E44E7D" w14:paraId="4A0736F2" w14:textId="46202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Target %</w:t>
            </w:r>
          </w:p>
        </w:tc>
        <w:tc>
          <w:tcPr>
            <w:tcW w:w="1615" w:type="dxa"/>
          </w:tcPr>
          <w:p w:rsidR="00E44E7D" w:rsidP="00E44E7D" w:rsidRDefault="00E44E7D" w14:paraId="11D3C92B" w14:textId="6E6A28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Actual %</w:t>
            </w:r>
          </w:p>
        </w:tc>
      </w:tr>
      <w:tr w:rsidR="00E44E7D" w:rsidTr="00E44E7D" w14:paraId="58D489D1" w14:textId="77777777">
        <w:tc>
          <w:tcPr>
            <w:tcW w:w="3865" w:type="dxa"/>
          </w:tcPr>
          <w:p w:rsidR="00E44E7D" w:rsidP="00E44E7D" w:rsidRDefault="00E44E7D" w14:paraId="1BEB7ED7" w14:textId="088383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Housing</w:t>
            </w:r>
          </w:p>
        </w:tc>
        <w:tc>
          <w:tcPr>
            <w:tcW w:w="2250" w:type="dxa"/>
          </w:tcPr>
          <w:p w:rsidR="00E44E7D" w:rsidP="00E44E7D" w:rsidRDefault="00E44E7D" w14:paraId="346DC2AA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44E7D" w:rsidP="00E44E7D" w:rsidRDefault="00E44E7D" w14:paraId="71D1D550" w14:textId="75A308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25-35%</w:t>
            </w:r>
          </w:p>
        </w:tc>
        <w:tc>
          <w:tcPr>
            <w:tcW w:w="1615" w:type="dxa"/>
          </w:tcPr>
          <w:p w:rsidR="00E44E7D" w:rsidP="00E44E7D" w:rsidRDefault="00E44E7D" w14:paraId="19F14AF0" w14:textId="77777777">
            <w:pPr>
              <w:rPr>
                <w:b/>
                <w:sz w:val="28"/>
                <w:szCs w:val="28"/>
              </w:rPr>
            </w:pPr>
          </w:p>
        </w:tc>
      </w:tr>
      <w:tr w:rsidR="00E44E7D" w:rsidTr="00E44E7D" w14:paraId="261381D6" w14:textId="77777777">
        <w:tc>
          <w:tcPr>
            <w:tcW w:w="3865" w:type="dxa"/>
          </w:tcPr>
          <w:p w:rsidR="00E44E7D" w:rsidP="00E44E7D" w:rsidRDefault="00E44E7D" w14:paraId="6CB7EC57" w14:textId="73418C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Transportation Costs: Loans /Tolls/ Gas </w:t>
            </w:r>
          </w:p>
        </w:tc>
        <w:tc>
          <w:tcPr>
            <w:tcW w:w="2250" w:type="dxa"/>
          </w:tcPr>
          <w:p w:rsidR="00E44E7D" w:rsidP="00E44E7D" w:rsidRDefault="00E44E7D" w14:paraId="66F2C881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44E7D" w:rsidP="00E44E7D" w:rsidRDefault="00E44E7D" w14:paraId="0B02E34B" w14:textId="2A704D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10-15%</w:t>
            </w:r>
          </w:p>
        </w:tc>
        <w:tc>
          <w:tcPr>
            <w:tcW w:w="1615" w:type="dxa"/>
          </w:tcPr>
          <w:p w:rsidR="00E44E7D" w:rsidP="00E44E7D" w:rsidRDefault="00E44E7D" w14:paraId="08D67357" w14:textId="77777777">
            <w:pPr>
              <w:rPr>
                <w:b/>
                <w:sz w:val="28"/>
                <w:szCs w:val="28"/>
              </w:rPr>
            </w:pPr>
          </w:p>
        </w:tc>
      </w:tr>
      <w:tr w:rsidR="00E44E7D" w:rsidTr="00E44E7D" w14:paraId="11B6D142" w14:textId="77777777">
        <w:tc>
          <w:tcPr>
            <w:tcW w:w="3865" w:type="dxa"/>
          </w:tcPr>
          <w:p w:rsidR="00E44E7D" w:rsidP="00E44E7D" w:rsidRDefault="00E44E7D" w14:paraId="5568AF2E" w14:textId="791B49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Food/ Eating Out</w:t>
            </w:r>
          </w:p>
        </w:tc>
        <w:tc>
          <w:tcPr>
            <w:tcW w:w="2250" w:type="dxa"/>
          </w:tcPr>
          <w:p w:rsidR="00E44E7D" w:rsidP="00E44E7D" w:rsidRDefault="00E44E7D" w14:paraId="2C1559A5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44E7D" w:rsidP="00E44E7D" w:rsidRDefault="00E44E7D" w14:paraId="4A1CD1ED" w14:textId="359FCD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10-15%</w:t>
            </w:r>
          </w:p>
        </w:tc>
        <w:tc>
          <w:tcPr>
            <w:tcW w:w="1615" w:type="dxa"/>
          </w:tcPr>
          <w:p w:rsidR="00E44E7D" w:rsidP="00E44E7D" w:rsidRDefault="00E44E7D" w14:paraId="4EAE59C6" w14:textId="77777777">
            <w:pPr>
              <w:rPr>
                <w:b/>
                <w:sz w:val="28"/>
                <w:szCs w:val="28"/>
              </w:rPr>
            </w:pPr>
          </w:p>
        </w:tc>
      </w:tr>
      <w:tr w:rsidR="00E44E7D" w:rsidTr="00E44E7D" w14:paraId="5877F844" w14:textId="77777777">
        <w:tc>
          <w:tcPr>
            <w:tcW w:w="3865" w:type="dxa"/>
          </w:tcPr>
          <w:p w:rsidR="00E44E7D" w:rsidP="00E44E7D" w:rsidRDefault="00E44E7D" w14:paraId="2D8679AA" w14:textId="197A7C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Utilities</w:t>
            </w:r>
          </w:p>
        </w:tc>
        <w:tc>
          <w:tcPr>
            <w:tcW w:w="2250" w:type="dxa"/>
          </w:tcPr>
          <w:p w:rsidR="00E44E7D" w:rsidP="00E44E7D" w:rsidRDefault="00E44E7D" w14:paraId="1AF63A70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44E7D" w:rsidP="00E44E7D" w:rsidRDefault="00E44E7D" w14:paraId="732C9FB2" w14:textId="7B1A35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5-10%</w:t>
            </w:r>
          </w:p>
        </w:tc>
        <w:tc>
          <w:tcPr>
            <w:tcW w:w="1615" w:type="dxa"/>
          </w:tcPr>
          <w:p w:rsidR="00E44E7D" w:rsidP="00E44E7D" w:rsidRDefault="00E44E7D" w14:paraId="11F754AC" w14:textId="77777777">
            <w:pPr>
              <w:rPr>
                <w:b/>
                <w:sz w:val="28"/>
                <w:szCs w:val="28"/>
              </w:rPr>
            </w:pPr>
          </w:p>
        </w:tc>
      </w:tr>
      <w:tr w:rsidR="00E44E7D" w:rsidTr="00E44E7D" w14:paraId="77CADCDB" w14:textId="77777777">
        <w:tc>
          <w:tcPr>
            <w:tcW w:w="3865" w:type="dxa"/>
          </w:tcPr>
          <w:p w:rsidR="00E44E7D" w:rsidP="00E44E7D" w:rsidRDefault="00E44E7D" w14:paraId="0D7C21DF" w14:textId="575478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Insurance: </w:t>
            </w:r>
            <w:r w:rsidRPr="00E44E7D">
              <w:rPr>
                <w:b/>
                <w:sz w:val="28"/>
                <w:szCs w:val="28"/>
              </w:rPr>
              <w:t>Medical/ Home/ Auto/ Pet</w:t>
            </w:r>
          </w:p>
        </w:tc>
        <w:tc>
          <w:tcPr>
            <w:tcW w:w="2250" w:type="dxa"/>
          </w:tcPr>
          <w:p w:rsidR="00E44E7D" w:rsidP="00E44E7D" w:rsidRDefault="00E44E7D" w14:paraId="6E2C2154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44E7D" w:rsidP="00E44E7D" w:rsidRDefault="00E44E7D" w14:paraId="2E0791FF" w14:textId="36B46F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10-25%</w:t>
            </w:r>
          </w:p>
        </w:tc>
        <w:tc>
          <w:tcPr>
            <w:tcW w:w="1615" w:type="dxa"/>
          </w:tcPr>
          <w:p w:rsidR="00E44E7D" w:rsidP="00E44E7D" w:rsidRDefault="00E44E7D" w14:paraId="7378AE7D" w14:textId="77777777">
            <w:pPr>
              <w:rPr>
                <w:b/>
                <w:sz w:val="28"/>
                <w:szCs w:val="28"/>
              </w:rPr>
            </w:pPr>
          </w:p>
        </w:tc>
      </w:tr>
      <w:tr w:rsidR="00E44E7D" w:rsidTr="00E44E7D" w14:paraId="2144090D" w14:textId="77777777">
        <w:tc>
          <w:tcPr>
            <w:tcW w:w="3865" w:type="dxa"/>
          </w:tcPr>
          <w:p w:rsidR="00E44E7D" w:rsidP="00E44E7D" w:rsidRDefault="00E44E7D" w14:paraId="091FDEFD" w14:textId="5AC118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Medical &amp; Healthcare</w:t>
            </w:r>
          </w:p>
        </w:tc>
        <w:tc>
          <w:tcPr>
            <w:tcW w:w="2250" w:type="dxa"/>
          </w:tcPr>
          <w:p w:rsidR="00E44E7D" w:rsidP="00E44E7D" w:rsidRDefault="00E44E7D" w14:paraId="26BA56CB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44E7D" w:rsidP="00E44E7D" w:rsidRDefault="00E44E7D" w14:paraId="55A07D24" w14:textId="4E6C57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5-10%</w:t>
            </w:r>
          </w:p>
        </w:tc>
        <w:tc>
          <w:tcPr>
            <w:tcW w:w="1615" w:type="dxa"/>
          </w:tcPr>
          <w:p w:rsidR="00E44E7D" w:rsidP="00E44E7D" w:rsidRDefault="00E44E7D" w14:paraId="08EDAE4A" w14:textId="77777777">
            <w:pPr>
              <w:rPr>
                <w:b/>
                <w:sz w:val="28"/>
                <w:szCs w:val="28"/>
              </w:rPr>
            </w:pPr>
          </w:p>
        </w:tc>
      </w:tr>
      <w:tr w:rsidR="00E44E7D" w:rsidTr="00E44E7D" w14:paraId="43FA43A2" w14:textId="77777777">
        <w:tc>
          <w:tcPr>
            <w:tcW w:w="3865" w:type="dxa"/>
          </w:tcPr>
          <w:p w:rsidR="00E44E7D" w:rsidP="00E44E7D" w:rsidRDefault="00E44E7D" w14:paraId="00BED604" w14:textId="51502E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Savings &amp; Investing</w:t>
            </w:r>
          </w:p>
        </w:tc>
        <w:tc>
          <w:tcPr>
            <w:tcW w:w="2250" w:type="dxa"/>
          </w:tcPr>
          <w:p w:rsidR="00E44E7D" w:rsidP="00E44E7D" w:rsidRDefault="00E44E7D" w14:paraId="3425010A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44E7D" w:rsidP="00E44E7D" w:rsidRDefault="00E44E7D" w14:paraId="0AA5AF35" w14:textId="00FE84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10-20%</w:t>
            </w:r>
          </w:p>
        </w:tc>
        <w:tc>
          <w:tcPr>
            <w:tcW w:w="1615" w:type="dxa"/>
          </w:tcPr>
          <w:p w:rsidR="00E44E7D" w:rsidP="00E44E7D" w:rsidRDefault="00E44E7D" w14:paraId="113F49AE" w14:textId="77777777">
            <w:pPr>
              <w:rPr>
                <w:b/>
                <w:sz w:val="28"/>
                <w:szCs w:val="28"/>
              </w:rPr>
            </w:pPr>
          </w:p>
        </w:tc>
      </w:tr>
      <w:tr w:rsidR="00E44E7D" w:rsidTr="00E44E7D" w14:paraId="3DBAC347" w14:textId="77777777">
        <w:tc>
          <w:tcPr>
            <w:tcW w:w="3865" w:type="dxa"/>
          </w:tcPr>
          <w:p w:rsidR="00E44E7D" w:rsidP="00E44E7D" w:rsidRDefault="00E44E7D" w14:paraId="748B2A61" w14:textId="331E33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Debt Payments</w:t>
            </w:r>
          </w:p>
        </w:tc>
        <w:tc>
          <w:tcPr>
            <w:tcW w:w="2250" w:type="dxa"/>
          </w:tcPr>
          <w:p w:rsidR="00E44E7D" w:rsidP="00E44E7D" w:rsidRDefault="00E44E7D" w14:paraId="19E5C7EC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44E7D" w:rsidP="00E44E7D" w:rsidRDefault="00E44E7D" w14:paraId="1F3365CE" w14:textId="6B92CC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10%</w:t>
            </w:r>
          </w:p>
        </w:tc>
        <w:tc>
          <w:tcPr>
            <w:tcW w:w="1615" w:type="dxa"/>
          </w:tcPr>
          <w:p w:rsidR="00E44E7D" w:rsidP="00E44E7D" w:rsidRDefault="00E44E7D" w14:paraId="11D544BD" w14:textId="77777777">
            <w:pPr>
              <w:rPr>
                <w:b/>
                <w:sz w:val="28"/>
                <w:szCs w:val="28"/>
              </w:rPr>
            </w:pPr>
          </w:p>
        </w:tc>
      </w:tr>
      <w:tr w:rsidR="00E44E7D" w:rsidTr="00E44E7D" w14:paraId="2C5071D8" w14:textId="77777777">
        <w:tc>
          <w:tcPr>
            <w:tcW w:w="3865" w:type="dxa"/>
          </w:tcPr>
          <w:p w:rsidR="00E44E7D" w:rsidP="00E44E7D" w:rsidRDefault="00E44E7D" w14:paraId="0B71DDFF" w14:textId="77AC49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Personal Spending</w:t>
            </w:r>
          </w:p>
        </w:tc>
        <w:tc>
          <w:tcPr>
            <w:tcW w:w="2250" w:type="dxa"/>
          </w:tcPr>
          <w:p w:rsidR="00E44E7D" w:rsidP="00E44E7D" w:rsidRDefault="00E44E7D" w14:paraId="2A5E3882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44E7D" w:rsidP="00E44E7D" w:rsidRDefault="00E44E7D" w14:paraId="7BAAA7E4" w14:textId="792898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10%</w:t>
            </w:r>
          </w:p>
        </w:tc>
        <w:tc>
          <w:tcPr>
            <w:tcW w:w="1615" w:type="dxa"/>
          </w:tcPr>
          <w:p w:rsidR="00E44E7D" w:rsidP="00E44E7D" w:rsidRDefault="00E44E7D" w14:paraId="5CF7DFC5" w14:textId="77777777">
            <w:pPr>
              <w:rPr>
                <w:b/>
                <w:sz w:val="28"/>
                <w:szCs w:val="28"/>
              </w:rPr>
            </w:pPr>
          </w:p>
        </w:tc>
      </w:tr>
    </w:tbl>
    <w:p w:rsidR="006C7642" w:rsidP="0034648F" w:rsidRDefault="006C7642" w14:paraId="3D2F368C" w14:textId="77777777">
      <w:pPr>
        <w:spacing w:after="160" w:line="259" w:lineRule="auto"/>
      </w:pPr>
    </w:p>
    <w:sectPr w:rsidR="006C76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BC2"/>
    <w:rsid w:val="00021A0F"/>
    <w:rsid w:val="0010265F"/>
    <w:rsid w:val="00255422"/>
    <w:rsid w:val="00295E25"/>
    <w:rsid w:val="0034648F"/>
    <w:rsid w:val="00652BE9"/>
    <w:rsid w:val="00690665"/>
    <w:rsid w:val="006C7642"/>
    <w:rsid w:val="0075192F"/>
    <w:rsid w:val="008F371A"/>
    <w:rsid w:val="00A1131A"/>
    <w:rsid w:val="00A66BC2"/>
    <w:rsid w:val="00BD2062"/>
    <w:rsid w:val="00BD2585"/>
    <w:rsid w:val="00C06787"/>
    <w:rsid w:val="00D1369D"/>
    <w:rsid w:val="00D80BD6"/>
    <w:rsid w:val="00E44E7D"/>
    <w:rsid w:val="00E92B14"/>
    <w:rsid w:val="00EA275B"/>
    <w:rsid w:val="3B08A303"/>
    <w:rsid w:val="7363F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C0847"/>
  <w15:chartTrackingRefBased/>
  <w15:docId w15:val="{DB5112BF-8B50-41B7-B074-FCF136C4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265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65F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65F"/>
    <w:pPr>
      <w:keepNext/>
      <w:keepLines/>
      <w:outlineLvl w:val="1"/>
    </w:pPr>
    <w:rPr>
      <w:rFonts w:eastAsiaTheme="majorEastAsia" w:cstheme="majorBidi"/>
      <w:bCs/>
      <w:color w:val="7F7F7F" w:themeColor="text1" w:themeTint="8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0265F"/>
    <w:pPr>
      <w:pBdr>
        <w:bottom w:val="single" w:color="auto" w:sz="4" w:space="1"/>
      </w:pBd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2BE9"/>
    <w:pPr>
      <w:keepNext/>
      <w:keepLines/>
      <w:spacing w:before="40" w:after="12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0265F"/>
    <w:rPr>
      <w:rFonts w:eastAsiaTheme="majorEastAsia" w:cstheme="majorBidi"/>
      <w:b/>
      <w:bCs/>
      <w:sz w:val="32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10265F"/>
    <w:rPr>
      <w:rFonts w:eastAsiaTheme="majorEastAsia" w:cstheme="majorBidi"/>
      <w:bCs/>
      <w:color w:val="7F7F7F" w:themeColor="text1" w:themeTint="80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10265F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0265F"/>
    <w:pPr>
      <w:pBdr>
        <w:bottom w:val="single" w:color="auto" w:sz="4" w:space="1"/>
      </w:pBdr>
      <w:spacing w:after="24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0265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4Char" w:customStyle="1">
    <w:name w:val="Heading 4 Char"/>
    <w:basedOn w:val="DefaultParagraphFont"/>
    <w:link w:val="Heading4"/>
    <w:uiPriority w:val="9"/>
    <w:rsid w:val="00652BE9"/>
    <w:rPr>
      <w:rFonts w:asciiTheme="majorHAnsi" w:hAnsiTheme="majorHAnsi" w:eastAsiaTheme="majorEastAsia" w:cstheme="majorBidi"/>
      <w:i/>
      <w:iCs/>
      <w:color w:val="2F5496" w:themeColor="accent1" w:themeShade="BF"/>
      <w:sz w:val="28"/>
      <w:szCs w:val="24"/>
    </w:rPr>
  </w:style>
  <w:style w:type="paragraph" w:styleId="NoSpacing">
    <w:name w:val="No Spacing"/>
    <w:uiPriority w:val="1"/>
    <w:qFormat/>
    <w:rsid w:val="0010265F"/>
    <w:pPr>
      <w:spacing w:after="0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39"/>
    <w:rsid w:val="00A66BC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6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4648F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D25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1DF25-0868-4749-A144-C7C53795615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Meghan Alard</dc:creator>
  <keywords/>
  <dc:description/>
  <lastModifiedBy>Joe Pye</lastModifiedBy>
  <revision>4</revision>
  <lastPrinted>2018-04-25T15:15:00.0000000Z</lastPrinted>
  <dcterms:created xsi:type="dcterms:W3CDTF">2025-01-24T19:52:00.0000000Z</dcterms:created>
  <dcterms:modified xsi:type="dcterms:W3CDTF">2025-01-30T20:04:48.9918373Z</dcterms:modified>
</coreProperties>
</file>